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2023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年驻马店市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公务接待服务中心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sz w:val="44"/>
          <w:szCs w:val="44"/>
          <w:lang w:val="en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预算公开说明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80" w:lineRule="exact"/>
        <w:ind w:firstLine="627" w:firstLineChars="196"/>
        <w:textAlignment w:val="auto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市公务接待服务中心</w:t>
      </w:r>
      <w:r>
        <w:rPr>
          <w:rFonts w:hint="eastAsia" w:ascii="黑体" w:hAnsi="黑体" w:eastAsia="黑体" w:cs="黑体"/>
          <w:kern w:val="0"/>
          <w:sz w:val="32"/>
          <w:szCs w:val="32"/>
        </w:rPr>
        <w:t>单位概况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jc w:val="left"/>
        <w:textAlignment w:val="auto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市公务接待服务中心</w:t>
      </w:r>
      <w:r>
        <w:rPr>
          <w:rFonts w:hint="eastAsia" w:ascii="黑体" w:hAnsi="黑体" w:eastAsia="黑体" w:cs="黑体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公务接待服务中心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八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、一般公共预算“三公”经费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九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、政府性基金预算支出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预算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项目支出预算表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十二、市级部门预算项目绩效目标汇总表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市公务接待服务中心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textAlignment w:val="auto"/>
      </w:pPr>
      <w:r>
        <w:t> </w:t>
      </w:r>
    </w:p>
    <w:p>
      <w:pPr>
        <w:keepNext w:val="0"/>
        <w:keepLines w:val="0"/>
        <w:pageBreakBefore w:val="0"/>
        <w:numPr>
          <w:ilvl w:val="0"/>
          <w:numId w:val="1"/>
        </w:numPr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市公务接待服务中心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负责接待来驻的国家级、省部级、地厅级以上领导同志和省委、省人大、省政府、省政协机关来驻公干的同志。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配合有关部门做好外事接待服务工作。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配合有关部门做好各类大型会议的服务工作。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会同有关部门制定全市接待服务标准并并监督实施；负责全市接待系统的业务指导及服务质量检查评比工作。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会同有关部门对全市接待系统的管理、服务人员进行岗位培训、技术等评晋开工作。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完成市委、市人大、市政府、市政协领导交办的其他事项。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二、预算单位构成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54" w:beforeAutospacing="0"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单位构成看，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市公务接待服务中心预算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包括本级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，纳入本部门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编制范围的单位有1 个：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sectPr>
          <w:pgSz w:w="11910" w:h="16840"/>
          <w:pgMar w:top="1803" w:right="1440" w:bottom="1803" w:left="1440" w:header="720" w:footer="720" w:gutter="0"/>
          <w:cols w:space="720" w:num="1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市公务接待服务中心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市公务接待服务中心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2023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widowControl/>
        <w:spacing w:line="600" w:lineRule="exact"/>
        <w:jc w:val="center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华文仿宋" w:hAnsi="华文仿宋" w:eastAsia="仿宋" w:cs="Times New Roman"/>
          <w:sz w:val="32"/>
          <w:szCs w:val="32"/>
          <w:lang w:eastAsia="zh-CN"/>
        </w:rPr>
        <w:t>市公务接待服务中心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518.4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518.4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万元，与202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/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98.2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  <w:lang w:eastAsia="zh-CN"/>
        </w:rPr>
        <w:t>增长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18.9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</w:rPr>
        <w:t>是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lang w:eastAsia="zh-CN"/>
        </w:rPr>
        <w:t>由于工资改革人员经费和项目经费有所增长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华文仿宋" w:hAnsi="华文仿宋" w:eastAsia="仿宋" w:cs="Times New Roman"/>
          <w:sz w:val="32"/>
          <w:szCs w:val="32"/>
          <w:lang w:eastAsia="zh-CN"/>
        </w:rPr>
        <w:t>市公务接待服务中心</w:t>
      </w:r>
      <w:r>
        <w:rPr>
          <w:rFonts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518.4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518.4</w:t>
      </w:r>
      <w:r>
        <w:rPr>
          <w:rFonts w:hint="eastAsia" w:ascii="仿宋" w:hAnsi="仿宋" w:eastAsia="仿宋"/>
          <w:sz w:val="32"/>
          <w:szCs w:val="32"/>
        </w:rPr>
        <w:t>元。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华文仿宋" w:hAnsi="华文仿宋" w:eastAsia="仿宋" w:cs="Times New Roman"/>
          <w:sz w:val="32"/>
          <w:szCs w:val="32"/>
        </w:rPr>
        <w:t xml:space="preserve">   </w:t>
      </w:r>
      <w:r>
        <w:rPr>
          <w:rFonts w:hint="eastAsia" w:ascii="华文仿宋" w:hAnsi="华文仿宋" w:eastAsia="仿宋" w:cs="Times New Roman"/>
          <w:sz w:val="32"/>
          <w:szCs w:val="32"/>
          <w:lang w:eastAsia="zh-CN"/>
        </w:rPr>
        <w:t>市公务接待服务中心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518.4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239.1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46.1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279.3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53.9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华文仿宋" w:hAnsi="华文仿宋" w:eastAsia="仿宋" w:cs="Times New Roman"/>
          <w:sz w:val="32"/>
          <w:szCs w:val="32"/>
          <w:lang w:eastAsia="zh-CN"/>
        </w:rPr>
        <w:t>市公务接待服务中心</w:t>
      </w: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518.4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98.2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增长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18.9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</w:t>
      </w:r>
      <w:r>
        <w:rPr>
          <w:rFonts w:hint="eastAsia" w:ascii="仿宋" w:hAnsi="仿宋" w:eastAsia="仿宋" w:cs="仿宋_GB2312"/>
          <w:b/>
          <w:bCs/>
          <w:color w:val="000000"/>
          <w:sz w:val="32"/>
          <w:szCs w:val="32"/>
          <w:lang w:eastAsia="zh-CN"/>
        </w:rPr>
        <w:t>由于工资改革人员经费和项目经费有所增长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jc w:val="left"/>
        <w:textAlignment w:val="auto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华文仿宋" w:hAnsi="华文仿宋" w:eastAsia="仿宋" w:cs="Times New Roman"/>
          <w:sz w:val="32"/>
          <w:szCs w:val="32"/>
          <w:lang w:eastAsia="zh-CN"/>
        </w:rPr>
        <w:t>市公务接待服务中心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518.4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461.9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89.1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23.7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4.6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14.5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2.8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18.4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3.5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239.1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万</w:t>
      </w:r>
      <w:r>
        <w:rPr>
          <w:rFonts w:hint="eastAsia" w:ascii="仿宋" w:hAnsi="仿宋" w:eastAsia="仿宋"/>
          <w:sz w:val="32"/>
          <w:szCs w:val="32"/>
        </w:rPr>
        <w:t>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216.8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22.4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我单位2022年“三公”经费预算为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256</w:t>
      </w:r>
      <w:r>
        <w:rPr>
          <w:rFonts w:hint="eastAsia" w:ascii="仿宋" w:hAnsi="仿宋" w:eastAsia="仿宋"/>
          <w:sz w:val="32"/>
          <w:szCs w:val="32"/>
        </w:rPr>
        <w:t>万元。2022年“三公”经费支出预算数比202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增长了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3" w:firstLineChars="200"/>
        <w:textAlignment w:val="auto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</w:t>
      </w:r>
      <w:r>
        <w:rPr>
          <w:rFonts w:hint="eastAsia" w:ascii="仿宋" w:hAnsi="仿宋" w:eastAsia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年持平。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主要原因是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highlight w:val="none"/>
        </w:rPr>
        <w:t>疫情影响，没有安排因公出国（境）费用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pStyle w:val="6"/>
        <w:widowControl/>
        <w:shd w:val="clear" w:color="auto" w:fill="FFFFFF"/>
        <w:spacing w:beforeAutospacing="0" w:afterAutospacing="0" w:line="600" w:lineRule="exact"/>
        <w:ind w:firstLine="643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  <w:t>其中：公务用车购置费预算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0万元，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highlight w:val="none"/>
        </w:rPr>
        <w:t>与 202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Courier New"/>
          <w:color w:val="auto"/>
          <w:sz w:val="32"/>
          <w:szCs w:val="32"/>
          <w:highlight w:val="none"/>
        </w:rPr>
        <w:t>年相比没有变化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比，主要原因是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2023年公车收回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3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256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63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增长了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由于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2022年经费紧张，未结算第四季度接待费45万结转到2023年结算，接待任务增加导致接待费增加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3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（一）机关（事业）单位机构运转经费支出情况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华文仿宋" w:hAnsi="华文仿宋" w:eastAsia="仿宋" w:cs="Times New Roman"/>
          <w:sz w:val="32"/>
          <w:szCs w:val="32"/>
          <w:lang w:eastAsia="zh-CN"/>
        </w:rPr>
        <w:t>市公务接待服务中心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23.3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主要保障机构正常运转及政策履职需要。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30" w:firstLineChars="196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30" w:firstLineChars="196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30" w:firstLineChars="196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年期末，我单位</w:t>
      </w:r>
      <w:r>
        <w:rPr>
          <w:rFonts w:hint="eastAsia" w:ascii="仿宋" w:hAnsi="仿宋" w:eastAsia="仿宋"/>
          <w:sz w:val="32"/>
          <w:szCs w:val="32"/>
          <w:lang w:eastAsia="zh-CN"/>
        </w:rPr>
        <w:t>无国有资产占用情况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其中：一般公务用车0辆、一般执法执勤用车0辆、其他用车0辆，其他用车主要是机要通信用车0辆、应急车辆0辆、老干部用车0辆；单价50万元以上通用设备0台(套)，单位价值100万元以上专用设备0台（套）。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30" w:firstLineChars="196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我单位无负责参与管理的专项转移支付项目。</w:t>
      </w: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jc w:val="both"/>
        <w:textAlignment w:val="auto"/>
        <w:rPr>
          <w:rFonts w:hint="eastAsia"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80" w:lineRule="exact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</w:p>
    <w:p>
      <w:pPr>
        <w:spacing w:line="600" w:lineRule="exact"/>
        <w:jc w:val="both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公务接待服务中心2023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sectPr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153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1470"/>
        <w:gridCol w:w="3075"/>
        <w:gridCol w:w="1545"/>
        <w:gridCol w:w="1545"/>
        <w:gridCol w:w="1545"/>
        <w:gridCol w:w="1545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预算04表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2023年财政拨款收支总体情况表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部门名称：</w:t>
            </w:r>
          </w:p>
        </w:tc>
        <w:tc>
          <w:tcPr>
            <w:tcW w:w="10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中共驻马店市委办公室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收入  </w:t>
            </w:r>
          </w:p>
        </w:tc>
        <w:tc>
          <w:tcPr>
            <w:tcW w:w="108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支出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项 目  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　额</w:t>
            </w:r>
          </w:p>
        </w:tc>
        <w:tc>
          <w:tcPr>
            <w:tcW w:w="3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项 目  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一般公共预算  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政府性基金  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国有资本经营预算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小计 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一、本年收入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518.40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518.40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518.40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518.40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518.40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（一）一般公共服务支出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461.87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461.87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461.87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其中：财政拨款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518.40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（二）外交支出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（三）国防支出(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（三）国有资本经营预算拨款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（四）公共安全支出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（五）教育支出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（一）一般公共预算拨款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（六）科学技术支出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（二）政府性基金预算拨款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（七）文化体育旅游与传媒支出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（三）国有资本经营预算拨款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（八）社会保障和就业支出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23.69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23.69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23.69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（九）医疗卫生与计划生育支出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（十）卫生健康支出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14.46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（十一）节能环保支出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（十二）城乡社区事务支出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（十三）农林水事务支出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（十四）交通运输支出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（十五）资源勘探信息等支出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（十六）商业服务业等支出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（十七）金融支出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（十九）援助其他地区支出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（二十）自然资源海洋气象等支出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（二十一）住房保障支出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18.38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（二十二）粮油物资储备支出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（二十三）国有资本经营预算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（二十四）灾害防治及应急管理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（二十七）预备费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（二十九）其他支出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（三十）转移性支出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（三十一）债务还本支出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（三十二）债务付息支出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（三十三）债务发行费用支出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（三十四）抗疫特别国债安排的支出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二、年终结转结余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收入合计：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518.40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518.40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518.40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518.40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600" w:lineRule="exact"/>
      </w:pPr>
    </w:p>
    <w:sectPr>
      <w:pgSz w:w="16838" w:h="11906" w:orient="landscape"/>
      <w:pgMar w:top="1588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A1C3C"/>
    <w:multiLevelType w:val="singleLevel"/>
    <w:tmpl w:val="44EA1C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5NjAxMmJkZTBjMmZhN2NmYmVjZGQ2NDUzNjQ0ZGYifQ=="/>
    <w:docVar w:name="KSO_WPS_MARK_KEY" w:val="c53336ed-54de-4e46-a15b-eeb1220c2727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CB32593"/>
    <w:rsid w:val="10002C94"/>
    <w:rsid w:val="10F7009F"/>
    <w:rsid w:val="1488753C"/>
    <w:rsid w:val="1EFB577C"/>
    <w:rsid w:val="34787E99"/>
    <w:rsid w:val="5867898B"/>
    <w:rsid w:val="684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00" w:afterAutospacing="1"/>
      <w:ind w:left="108"/>
    </w:pPr>
    <w:rPr>
      <w:rFonts w:ascii="宋体" w:hAnsi="宋体" w:cs="宋体"/>
      <w:sz w:val="32"/>
      <w:szCs w:val="32"/>
    </w:r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8"/>
    <w:link w:val="3"/>
    <w:semiHidden/>
    <w:qFormat/>
    <w:locked/>
    <w:uiPriority w:val="99"/>
    <w:rPr>
      <w:sz w:val="2"/>
      <w:szCs w:val="2"/>
    </w:rPr>
  </w:style>
  <w:style w:type="character" w:customStyle="1" w:styleId="12">
    <w:name w:val="页眉 Char"/>
    <w:basedOn w:val="8"/>
    <w:link w:val="5"/>
    <w:semiHidden/>
    <w:qFormat/>
    <w:uiPriority w:val="99"/>
    <w:rPr>
      <w:rFonts w:cs="Calibri"/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3797</Words>
  <Characters>4111</Characters>
  <Lines>41</Lines>
  <Paragraphs>11</Paragraphs>
  <TotalTime>11</TotalTime>
  <ScaleCrop>false</ScaleCrop>
  <LinksUpToDate>false</LinksUpToDate>
  <CharactersWithSpaces>4170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2017-11-03T12:07:00Z</dcterms:created>
  <dc:creator>6102</dc:creator>
  <cp:lastModifiedBy>行政科</cp:lastModifiedBy>
  <cp:lastPrinted>2018-03-22T12:03:00Z</cp:lastPrinted>
  <dcterms:modified xsi:type="dcterms:W3CDTF">2023-02-09T03:24:19Z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EE291831B1374569B4CC98683422C489</vt:lpwstr>
  </property>
</Properties>
</file>